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2" w:rsidRPr="00F12C49" w:rsidRDefault="00F44502" w:rsidP="00F44502">
      <w:pPr>
        <w:rPr>
          <w:rFonts w:ascii="Arial" w:hAnsi="Arial" w:cs="Arial"/>
          <w:b/>
          <w:bCs/>
          <w:noProof/>
          <w:u w:val="single"/>
        </w:rPr>
      </w:pPr>
      <w:r w:rsidRPr="00F12C49">
        <w:rPr>
          <w:rFonts w:ascii="Arial" w:hAnsi="Arial" w:cs="Arial"/>
          <w:b/>
          <w:bCs/>
          <w:noProof/>
          <w:u w:val="single"/>
        </w:rPr>
        <w:t xml:space="preserve">SOP for  handling payments of TDS-GST  and Income Tax in PFMS  </w:t>
      </w:r>
    </w:p>
    <w:p w:rsidR="00F44502" w:rsidRPr="00F12C49" w:rsidRDefault="00F44502" w:rsidP="00F44502">
      <w:pPr>
        <w:rPr>
          <w:rFonts w:ascii="Arial" w:hAnsi="Arial" w:cs="Arial"/>
          <w:b/>
          <w:bCs/>
          <w:noProof/>
          <w:u w:val="single"/>
        </w:rPr>
      </w:pPr>
      <w:r w:rsidRPr="00F12C49">
        <w:rPr>
          <w:rFonts w:ascii="Arial" w:hAnsi="Arial" w:cs="Arial"/>
          <w:b/>
          <w:bCs/>
          <w:noProof/>
          <w:u w:val="single"/>
        </w:rPr>
        <w:t xml:space="preserve">Payment of GST -E-payment case/Cheque: - </w:t>
      </w:r>
    </w:p>
    <w:p w:rsidR="00981F11" w:rsidRPr="00F12C49" w:rsidRDefault="00981F11" w:rsidP="00F44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>Sanction for the gross amount will be created and at DDO level deduction of TDS-GST will be made in the following accounting heads which is available for deduction in the dropdown.</w:t>
      </w: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>Grant -800</w:t>
      </w: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>Major Head</w:t>
      </w:r>
      <w:r w:rsidR="00644A17">
        <w:rPr>
          <w:rFonts w:ascii="Arial" w:hAnsi="Arial" w:cs="Arial"/>
          <w:bCs/>
          <w:noProof/>
        </w:rPr>
        <w:t>-</w:t>
      </w:r>
      <w:r w:rsidRPr="00F12C49">
        <w:rPr>
          <w:rFonts w:ascii="Arial" w:hAnsi="Arial" w:cs="Arial"/>
          <w:bCs/>
          <w:noProof/>
        </w:rPr>
        <w:t xml:space="preserve"> 8659001010300 </w:t>
      </w: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 xml:space="preserve">Object head </w:t>
      </w:r>
      <w:r w:rsidR="00644A17">
        <w:rPr>
          <w:rFonts w:ascii="Arial" w:hAnsi="Arial" w:cs="Arial"/>
          <w:bCs/>
          <w:noProof/>
        </w:rPr>
        <w:t>-</w:t>
      </w:r>
      <w:r w:rsidRPr="00F12C49">
        <w:rPr>
          <w:rFonts w:ascii="Arial" w:hAnsi="Arial" w:cs="Arial"/>
          <w:bCs/>
          <w:noProof/>
        </w:rPr>
        <w:t xml:space="preserve">00 </w:t>
      </w:r>
    </w:p>
    <w:p w:rsidR="00981F11" w:rsidRPr="00F12C49" w:rsidRDefault="00644A17" w:rsidP="00981F11">
      <w:pPr>
        <w:pStyle w:val="ListParagraph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Catego</w:t>
      </w:r>
      <w:r w:rsidR="00981F11" w:rsidRPr="00F12C49">
        <w:rPr>
          <w:rFonts w:ascii="Arial" w:hAnsi="Arial" w:cs="Arial"/>
          <w:bCs/>
          <w:noProof/>
        </w:rPr>
        <w:t>ry</w:t>
      </w:r>
      <w:r>
        <w:rPr>
          <w:rFonts w:ascii="Arial" w:hAnsi="Arial" w:cs="Arial"/>
          <w:bCs/>
          <w:noProof/>
        </w:rPr>
        <w:t>-</w:t>
      </w:r>
      <w:r w:rsidR="00981F11" w:rsidRPr="00F12C49">
        <w:rPr>
          <w:rFonts w:ascii="Arial" w:hAnsi="Arial" w:cs="Arial"/>
          <w:bCs/>
          <w:noProof/>
        </w:rPr>
        <w:t xml:space="preserve"> 6</w:t>
      </w: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>The payment of net amount will be done to benificiary from PFMS through normal three level processing at PAO either through cheque payment or e-payment.</w:t>
      </w:r>
    </w:p>
    <w:p w:rsidR="00981F11" w:rsidRPr="00F12C49" w:rsidRDefault="00981F11" w:rsidP="00981F11">
      <w:pPr>
        <w:pStyle w:val="ListParagraph"/>
        <w:jc w:val="both"/>
        <w:rPr>
          <w:rFonts w:ascii="Arial" w:hAnsi="Arial" w:cs="Arial"/>
          <w:bCs/>
          <w:noProof/>
        </w:rPr>
      </w:pPr>
    </w:p>
    <w:p w:rsidR="00AB1B76" w:rsidRPr="00F12C49" w:rsidRDefault="00981F11" w:rsidP="00F44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 xml:space="preserve">DDO will </w:t>
      </w:r>
      <w:r w:rsidR="00F44502" w:rsidRPr="00F12C49">
        <w:rPr>
          <w:rFonts w:ascii="Arial" w:hAnsi="Arial" w:cs="Arial"/>
          <w:bCs/>
          <w:noProof/>
        </w:rPr>
        <w:t xml:space="preserve">Log in to GSTN portal </w:t>
      </w:r>
      <w:r w:rsidRPr="00F12C49">
        <w:rPr>
          <w:rFonts w:ascii="Arial" w:hAnsi="Arial" w:cs="Arial"/>
          <w:bCs/>
          <w:noProof/>
        </w:rPr>
        <w:t xml:space="preserve">for </w:t>
      </w:r>
      <w:r w:rsidR="00F12C49" w:rsidRPr="00F12C49">
        <w:rPr>
          <w:rFonts w:ascii="Arial" w:hAnsi="Arial" w:cs="Arial"/>
          <w:bCs/>
          <w:noProof/>
        </w:rPr>
        <w:t>remittance</w:t>
      </w:r>
      <w:r w:rsidRPr="00F12C49">
        <w:rPr>
          <w:rFonts w:ascii="Arial" w:hAnsi="Arial" w:cs="Arial"/>
          <w:bCs/>
          <w:noProof/>
        </w:rPr>
        <w:t xml:space="preserve"> of GST-TDS for single</w:t>
      </w:r>
      <w:r w:rsidR="00644A17">
        <w:rPr>
          <w:rFonts w:ascii="Arial" w:hAnsi="Arial" w:cs="Arial"/>
          <w:bCs/>
          <w:noProof/>
        </w:rPr>
        <w:t xml:space="preserve"> </w:t>
      </w:r>
      <w:r w:rsidRPr="00F12C49">
        <w:rPr>
          <w:rFonts w:ascii="Arial" w:hAnsi="Arial" w:cs="Arial"/>
          <w:bCs/>
          <w:noProof/>
        </w:rPr>
        <w:t xml:space="preserve">payment/monthly basis/quarterly basis </w:t>
      </w:r>
      <w:r w:rsidR="00F44502" w:rsidRPr="00F12C49">
        <w:rPr>
          <w:rFonts w:ascii="Arial" w:hAnsi="Arial" w:cs="Arial"/>
          <w:bCs/>
          <w:noProof/>
        </w:rPr>
        <w:t xml:space="preserve">and fill in the </w:t>
      </w:r>
      <w:r w:rsidRPr="00F12C49">
        <w:rPr>
          <w:rFonts w:ascii="Arial" w:hAnsi="Arial" w:cs="Arial"/>
          <w:bCs/>
          <w:noProof/>
        </w:rPr>
        <w:t>required</w:t>
      </w:r>
      <w:r w:rsidR="00F44502" w:rsidRPr="00F12C49">
        <w:rPr>
          <w:rFonts w:ascii="Arial" w:hAnsi="Arial" w:cs="Arial"/>
          <w:bCs/>
          <w:noProof/>
        </w:rPr>
        <w:t xml:space="preserve"> information </w:t>
      </w:r>
      <w:r w:rsidR="00F12C49" w:rsidRPr="00F12C49">
        <w:rPr>
          <w:rFonts w:ascii="Arial" w:hAnsi="Arial" w:cs="Arial"/>
          <w:bCs/>
          <w:noProof/>
        </w:rPr>
        <w:t>regarding deducted amount</w:t>
      </w:r>
      <w:r w:rsidR="00F44502" w:rsidRPr="00F12C49">
        <w:rPr>
          <w:rFonts w:ascii="Arial" w:hAnsi="Arial" w:cs="Arial"/>
          <w:bCs/>
          <w:noProof/>
        </w:rPr>
        <w:t xml:space="preserve"> of GST TDS. A challan no. is generated</w:t>
      </w:r>
      <w:r w:rsidR="00AB1B76" w:rsidRPr="00F12C49">
        <w:rPr>
          <w:rFonts w:ascii="Arial" w:hAnsi="Arial" w:cs="Arial"/>
          <w:bCs/>
          <w:noProof/>
        </w:rPr>
        <w:t xml:space="preserve">  with the </w:t>
      </w:r>
      <w:r w:rsidR="00F12C49" w:rsidRPr="00F12C49">
        <w:rPr>
          <w:rFonts w:ascii="Arial" w:hAnsi="Arial" w:cs="Arial"/>
          <w:bCs/>
          <w:noProof/>
        </w:rPr>
        <w:t xml:space="preserve">CPIN number. </w:t>
      </w:r>
    </w:p>
    <w:p w:rsidR="00AB1B76" w:rsidRPr="00F12C49" w:rsidRDefault="00AB1B76" w:rsidP="00AB1B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Cs/>
          <w:noProof/>
        </w:rPr>
        <w:t xml:space="preserve">The payment </w:t>
      </w:r>
      <w:r w:rsidRPr="00F12C49">
        <w:rPr>
          <w:rFonts w:ascii="Arial" w:hAnsi="Arial" w:cs="Arial"/>
        </w:rPr>
        <w:t>for remittance of GST amount through PFMS can be handled either through e-payment or cheque payment.</w:t>
      </w:r>
    </w:p>
    <w:p w:rsidR="00AB1B76" w:rsidRPr="00F12C49" w:rsidRDefault="00AB1B76" w:rsidP="00AB1B76">
      <w:pPr>
        <w:ind w:left="720"/>
        <w:jc w:val="both"/>
        <w:rPr>
          <w:rFonts w:ascii="Arial" w:hAnsi="Arial" w:cs="Arial"/>
          <w:bCs/>
          <w:noProof/>
        </w:rPr>
      </w:pPr>
      <w:r w:rsidRPr="00F12C49">
        <w:rPr>
          <w:rFonts w:ascii="Arial" w:hAnsi="Arial" w:cs="Arial"/>
          <w:b/>
          <w:bCs/>
          <w:noProof/>
          <w:u w:val="single"/>
        </w:rPr>
        <w:t>E-Payment Case</w:t>
      </w:r>
      <w:r w:rsidRPr="00F12C49">
        <w:rPr>
          <w:rFonts w:ascii="Arial" w:hAnsi="Arial" w:cs="Arial"/>
          <w:bCs/>
          <w:noProof/>
        </w:rPr>
        <w:t>:- A new Vendor at PD level for e-payment needs to be created with CPIN  no.</w:t>
      </w:r>
      <w:r w:rsidR="00644A17">
        <w:rPr>
          <w:rFonts w:ascii="Arial" w:hAnsi="Arial" w:cs="Arial"/>
          <w:bCs/>
          <w:noProof/>
        </w:rPr>
        <w:t xml:space="preserve"> as account number and IFSC </w:t>
      </w:r>
      <w:r w:rsidRPr="00F12C49">
        <w:rPr>
          <w:rFonts w:ascii="Arial" w:hAnsi="Arial" w:cs="Arial"/>
          <w:bCs/>
          <w:noProof/>
        </w:rPr>
        <w:t>of RBI for payment purpose.</w:t>
      </w:r>
    </w:p>
    <w:p w:rsidR="00AB1B76" w:rsidRPr="00F12C49" w:rsidRDefault="00AB1B76" w:rsidP="00AB1B76">
      <w:pPr>
        <w:ind w:left="720"/>
        <w:jc w:val="both"/>
        <w:rPr>
          <w:rFonts w:ascii="Arial" w:hAnsi="Arial" w:cs="Arial"/>
          <w:noProof/>
        </w:rPr>
      </w:pPr>
      <w:r w:rsidRPr="00F12C49">
        <w:rPr>
          <w:rFonts w:ascii="Arial" w:hAnsi="Arial" w:cs="Arial"/>
          <w:b/>
          <w:bCs/>
          <w:noProof/>
          <w:u w:val="single"/>
        </w:rPr>
        <w:t>Cheque payment</w:t>
      </w:r>
      <w:r w:rsidRPr="00F12C49">
        <w:rPr>
          <w:rFonts w:ascii="Arial" w:hAnsi="Arial" w:cs="Arial"/>
          <w:bCs/>
          <w:noProof/>
        </w:rPr>
        <w:t xml:space="preserve">:- A new vendor for the </w:t>
      </w:r>
      <w:r w:rsidRPr="00F12C49">
        <w:rPr>
          <w:rFonts w:ascii="Arial" w:hAnsi="Arial" w:cs="Arial"/>
        </w:rPr>
        <w:t>Authorized Bank needs to</w:t>
      </w:r>
      <w:r w:rsidRPr="00F12C49">
        <w:rPr>
          <w:rFonts w:ascii="Arial" w:hAnsi="Arial" w:cs="Arial"/>
          <w:bCs/>
          <w:noProof/>
        </w:rPr>
        <w:t xml:space="preserve"> be created at PD level for making payment for GST.</w:t>
      </w:r>
    </w:p>
    <w:p w:rsidR="000962BF" w:rsidRPr="00F12C49" w:rsidRDefault="000962BF" w:rsidP="000962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noProof/>
          <w:u w:val="single"/>
        </w:rPr>
      </w:pPr>
      <w:r w:rsidRPr="00F12C49">
        <w:rPr>
          <w:rFonts w:ascii="Arial" w:hAnsi="Arial" w:cs="Arial"/>
          <w:noProof/>
        </w:rPr>
        <w:t>PD will create sanction with sanction type as “Expenditure”  for the gross amount and select the vendor created for TDS-GST  payment with the following accounting heads under Sanction&gt;Create Sanction</w:t>
      </w:r>
    </w:p>
    <w:p w:rsidR="000962BF" w:rsidRPr="00F12C49" w:rsidRDefault="000962BF" w:rsidP="000962BF">
      <w:pPr>
        <w:pStyle w:val="ListParagraph"/>
        <w:rPr>
          <w:rFonts w:ascii="Arial" w:hAnsi="Arial" w:cs="Arial"/>
          <w:b/>
          <w:bCs/>
          <w:noProof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35"/>
        <w:gridCol w:w="2268"/>
        <w:gridCol w:w="2178"/>
        <w:gridCol w:w="1380"/>
      </w:tblGrid>
      <w:tr w:rsidR="000962BF" w:rsidRPr="00F12C49" w:rsidTr="006C2E96">
        <w:tc>
          <w:tcPr>
            <w:tcW w:w="835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Grant</w:t>
            </w:r>
          </w:p>
        </w:tc>
        <w:tc>
          <w:tcPr>
            <w:tcW w:w="2268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Functional Head</w:t>
            </w:r>
          </w:p>
        </w:tc>
        <w:tc>
          <w:tcPr>
            <w:tcW w:w="2178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Object head</w:t>
            </w:r>
          </w:p>
        </w:tc>
        <w:tc>
          <w:tcPr>
            <w:tcW w:w="1380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category</w:t>
            </w:r>
          </w:p>
        </w:tc>
      </w:tr>
      <w:tr w:rsidR="000962BF" w:rsidRPr="00F12C49" w:rsidTr="006C2E96">
        <w:tc>
          <w:tcPr>
            <w:tcW w:w="835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800</w:t>
            </w:r>
          </w:p>
        </w:tc>
        <w:tc>
          <w:tcPr>
            <w:tcW w:w="2268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8659001010300</w:t>
            </w:r>
          </w:p>
        </w:tc>
        <w:tc>
          <w:tcPr>
            <w:tcW w:w="2178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1380" w:type="dxa"/>
          </w:tcPr>
          <w:p w:rsidR="000962BF" w:rsidRPr="00F12C49" w:rsidRDefault="000962BF" w:rsidP="006C2E96">
            <w:pPr>
              <w:pStyle w:val="ListParagraph"/>
              <w:ind w:left="0"/>
              <w:rPr>
                <w:rFonts w:ascii="Arial" w:hAnsi="Arial" w:cs="Arial"/>
                <w:noProof/>
              </w:rPr>
            </w:pPr>
            <w:r w:rsidRPr="00F12C49">
              <w:rPr>
                <w:rFonts w:ascii="Arial" w:hAnsi="Arial" w:cs="Arial"/>
                <w:noProof/>
              </w:rPr>
              <w:t>6</w:t>
            </w:r>
          </w:p>
        </w:tc>
      </w:tr>
    </w:tbl>
    <w:p w:rsidR="000962BF" w:rsidRPr="00F12C49" w:rsidRDefault="000962BF" w:rsidP="000962BF">
      <w:pPr>
        <w:pStyle w:val="ListParagraph"/>
        <w:rPr>
          <w:rFonts w:ascii="Arial" w:hAnsi="Arial" w:cs="Arial"/>
          <w:b/>
          <w:bCs/>
          <w:noProof/>
          <w:u w:val="single"/>
        </w:rPr>
      </w:pPr>
    </w:p>
    <w:p w:rsidR="000962BF" w:rsidRPr="00F12C49" w:rsidRDefault="000962BF" w:rsidP="000962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u w:val="single"/>
        </w:rPr>
      </w:pPr>
      <w:r w:rsidRPr="00F12C49">
        <w:rPr>
          <w:rFonts w:ascii="Arial" w:hAnsi="Arial" w:cs="Arial"/>
          <w:noProof/>
        </w:rPr>
        <w:t>DDO will receive the sanction, generate bill and thereafter the bill will be moved for epayment/cheque as per prescribed process flow.</w:t>
      </w:r>
    </w:p>
    <w:p w:rsidR="00F44502" w:rsidRPr="00F12C49" w:rsidRDefault="00F44502" w:rsidP="00F44502">
      <w:pPr>
        <w:rPr>
          <w:rFonts w:ascii="Arial" w:hAnsi="Arial" w:cs="Arial"/>
          <w:b/>
          <w:bCs/>
          <w:noProof/>
          <w:u w:val="single"/>
        </w:rPr>
      </w:pPr>
    </w:p>
    <w:p w:rsidR="00F44502" w:rsidRPr="00F12C49" w:rsidRDefault="00F44502" w:rsidP="00F44502">
      <w:pPr>
        <w:rPr>
          <w:rFonts w:ascii="Arial" w:hAnsi="Arial" w:cs="Arial"/>
          <w:b/>
          <w:bCs/>
          <w:noProof/>
          <w:u w:val="single"/>
        </w:rPr>
      </w:pPr>
      <w:r w:rsidRPr="00F12C49">
        <w:rPr>
          <w:rFonts w:ascii="Arial" w:hAnsi="Arial" w:cs="Arial"/>
          <w:b/>
          <w:bCs/>
          <w:noProof/>
          <w:u w:val="single"/>
        </w:rPr>
        <w:t>For</w:t>
      </w:r>
      <w:r w:rsidR="000962BF" w:rsidRPr="00F12C49">
        <w:rPr>
          <w:rFonts w:ascii="Arial" w:hAnsi="Arial" w:cs="Arial"/>
          <w:b/>
          <w:bCs/>
          <w:noProof/>
          <w:u w:val="single"/>
        </w:rPr>
        <w:t xml:space="preserve"> TDS-</w:t>
      </w:r>
      <w:r w:rsidRPr="00F12C49">
        <w:rPr>
          <w:rFonts w:ascii="Arial" w:hAnsi="Arial" w:cs="Arial"/>
          <w:b/>
          <w:bCs/>
          <w:noProof/>
          <w:u w:val="single"/>
        </w:rPr>
        <w:t xml:space="preserve"> I</w:t>
      </w:r>
      <w:r w:rsidR="000962BF" w:rsidRPr="00F12C49">
        <w:rPr>
          <w:rFonts w:ascii="Arial" w:hAnsi="Arial" w:cs="Arial"/>
          <w:b/>
          <w:bCs/>
          <w:noProof/>
          <w:u w:val="single"/>
        </w:rPr>
        <w:t xml:space="preserve">ncome </w:t>
      </w:r>
      <w:r w:rsidRPr="00F12C49">
        <w:rPr>
          <w:rFonts w:ascii="Arial" w:hAnsi="Arial" w:cs="Arial"/>
          <w:b/>
          <w:bCs/>
          <w:noProof/>
          <w:u w:val="single"/>
        </w:rPr>
        <w:t>T</w:t>
      </w:r>
      <w:r w:rsidR="000962BF" w:rsidRPr="00F12C49">
        <w:rPr>
          <w:rFonts w:ascii="Arial" w:hAnsi="Arial" w:cs="Arial"/>
          <w:b/>
          <w:bCs/>
          <w:noProof/>
          <w:u w:val="single"/>
        </w:rPr>
        <w:t>ax payments</w:t>
      </w:r>
    </w:p>
    <w:p w:rsidR="003D5B8D" w:rsidRDefault="000962BF" w:rsidP="00F12C49">
      <w:pPr>
        <w:jc w:val="both"/>
        <w:rPr>
          <w:rFonts w:ascii="Arial" w:hAnsi="Arial" w:cs="Arial"/>
        </w:rPr>
      </w:pPr>
      <w:r w:rsidRPr="00F12C49">
        <w:rPr>
          <w:rFonts w:ascii="Arial" w:hAnsi="Arial" w:cs="Arial"/>
        </w:rPr>
        <w:t xml:space="preserve">Common sanction flow </w:t>
      </w:r>
      <w:r w:rsidR="00F12C49" w:rsidRPr="00F12C49">
        <w:rPr>
          <w:rFonts w:ascii="Arial" w:hAnsi="Arial" w:cs="Arial"/>
        </w:rPr>
        <w:t>with the gross amount</w:t>
      </w:r>
      <w:r w:rsidRPr="00F12C49">
        <w:rPr>
          <w:rFonts w:ascii="Arial" w:hAnsi="Arial" w:cs="Arial"/>
        </w:rPr>
        <w:t xml:space="preserve"> and the deduction at DDO level</w:t>
      </w:r>
      <w:r w:rsidR="00644A17">
        <w:rPr>
          <w:rFonts w:ascii="Arial" w:hAnsi="Arial" w:cs="Arial"/>
        </w:rPr>
        <w:t xml:space="preserve"> </w:t>
      </w:r>
      <w:r w:rsidR="00C74978" w:rsidRPr="00F12C49">
        <w:rPr>
          <w:rFonts w:ascii="Arial" w:hAnsi="Arial" w:cs="Arial"/>
        </w:rPr>
        <w:t>for income</w:t>
      </w:r>
      <w:r w:rsidRPr="00F12C49">
        <w:rPr>
          <w:rFonts w:ascii="Arial" w:hAnsi="Arial" w:cs="Arial"/>
        </w:rPr>
        <w:t xml:space="preserve"> tax </w:t>
      </w:r>
      <w:r w:rsidR="00F12C49" w:rsidRPr="00F12C49">
        <w:rPr>
          <w:rFonts w:ascii="Arial" w:hAnsi="Arial" w:cs="Arial"/>
        </w:rPr>
        <w:t xml:space="preserve">under grant 900 in Major </w:t>
      </w:r>
      <w:proofErr w:type="gramStart"/>
      <w:r w:rsidR="00F12C49" w:rsidRPr="00F12C49">
        <w:rPr>
          <w:rFonts w:ascii="Arial" w:hAnsi="Arial" w:cs="Arial"/>
        </w:rPr>
        <w:t>head</w:t>
      </w:r>
      <w:proofErr w:type="gramEnd"/>
      <w:r w:rsidR="00F12C49" w:rsidRPr="00F12C49">
        <w:rPr>
          <w:rFonts w:ascii="Arial" w:hAnsi="Arial" w:cs="Arial"/>
        </w:rPr>
        <w:t xml:space="preserve"> </w:t>
      </w:r>
      <w:r w:rsidR="00C74978" w:rsidRPr="00F12C49">
        <w:rPr>
          <w:rFonts w:ascii="Arial" w:hAnsi="Arial" w:cs="Arial"/>
        </w:rPr>
        <w:t>0021 depending</w:t>
      </w:r>
      <w:r w:rsidR="00F12C49" w:rsidRPr="00F12C49">
        <w:rPr>
          <w:rFonts w:ascii="Arial" w:hAnsi="Arial" w:cs="Arial"/>
        </w:rPr>
        <w:t xml:space="preserve"> upon the tax deducted for employees or contractors. Short codes of all the relevant head are </w:t>
      </w:r>
      <w:r w:rsidR="003D5B8D">
        <w:rPr>
          <w:rFonts w:ascii="Arial" w:hAnsi="Arial" w:cs="Arial"/>
        </w:rPr>
        <w:t>available</w:t>
      </w:r>
      <w:r w:rsidR="00F12C49" w:rsidRPr="00F12C49">
        <w:rPr>
          <w:rFonts w:ascii="Arial" w:hAnsi="Arial" w:cs="Arial"/>
        </w:rPr>
        <w:t xml:space="preserve"> in the drop down. </w:t>
      </w:r>
    </w:p>
    <w:p w:rsidR="00941B2D" w:rsidRPr="00F12C49" w:rsidRDefault="003D5B8D" w:rsidP="00F1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CGDA may share the details of accounting heads used in Defence for Income tax with the users. </w:t>
      </w:r>
      <w:r w:rsidR="00F12C49" w:rsidRPr="00F12C49">
        <w:rPr>
          <w:rFonts w:ascii="Arial" w:hAnsi="Arial" w:cs="Arial"/>
        </w:rPr>
        <w:t xml:space="preserve">In case short code </w:t>
      </w:r>
      <w:r w:rsidR="00C74978" w:rsidRPr="00F12C49">
        <w:rPr>
          <w:rFonts w:ascii="Arial" w:hAnsi="Arial" w:cs="Arial"/>
        </w:rPr>
        <w:t>is not</w:t>
      </w:r>
      <w:r w:rsidR="00F12C49" w:rsidRPr="00F12C49">
        <w:rPr>
          <w:rFonts w:ascii="Arial" w:hAnsi="Arial" w:cs="Arial"/>
        </w:rPr>
        <w:t xml:space="preserve"> available for any head, DDO user can opt the option of “Others” and type the </w:t>
      </w:r>
      <w:r w:rsidR="00C74978" w:rsidRPr="00F12C49">
        <w:rPr>
          <w:rFonts w:ascii="Arial" w:hAnsi="Arial" w:cs="Arial"/>
        </w:rPr>
        <w:t>15-digit</w:t>
      </w:r>
      <w:r w:rsidR="00F12C49" w:rsidRPr="00F12C49">
        <w:rPr>
          <w:rFonts w:ascii="Arial" w:hAnsi="Arial" w:cs="Arial"/>
        </w:rPr>
        <w:t xml:space="preserve"> accounting heads. If required request for creation of short code may be sent to help desk of PFMS at </w:t>
      </w:r>
      <w:hyperlink r:id="rId5" w:history="1">
        <w:r w:rsidR="00C74978" w:rsidRPr="00250148">
          <w:rPr>
            <w:rStyle w:val="Hyperlink"/>
            <w:rFonts w:ascii="Arial" w:hAnsi="Arial" w:cs="Arial"/>
          </w:rPr>
          <w:t>pao2000@nic.in</w:t>
        </w:r>
      </w:hyperlink>
      <w:r w:rsidR="00C74978">
        <w:rPr>
          <w:rFonts w:ascii="Arial" w:hAnsi="Arial" w:cs="Arial"/>
        </w:rPr>
        <w:t xml:space="preserve"> with complete detail of functional heads </w:t>
      </w:r>
      <w:bookmarkStart w:id="0" w:name="_GoBack"/>
      <w:bookmarkEnd w:id="0"/>
      <w:r w:rsidR="00C74978">
        <w:rPr>
          <w:rFonts w:ascii="Arial" w:hAnsi="Arial" w:cs="Arial"/>
        </w:rPr>
        <w:t>with short code description</w:t>
      </w:r>
      <w:r w:rsidR="00F12C49" w:rsidRPr="00F12C49">
        <w:rPr>
          <w:rFonts w:ascii="Arial" w:hAnsi="Arial" w:cs="Arial"/>
        </w:rPr>
        <w:t>.</w:t>
      </w:r>
    </w:p>
    <w:sectPr w:rsidR="00941B2D" w:rsidRPr="00F12C49" w:rsidSect="00CE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147"/>
    <w:multiLevelType w:val="hybridMultilevel"/>
    <w:tmpl w:val="8724CF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EE2"/>
    <w:multiLevelType w:val="hybridMultilevel"/>
    <w:tmpl w:val="8724CF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7DAE"/>
    <w:multiLevelType w:val="hybridMultilevel"/>
    <w:tmpl w:val="8724CF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44502"/>
    <w:rsid w:val="000962BF"/>
    <w:rsid w:val="00163E3F"/>
    <w:rsid w:val="003D5B8D"/>
    <w:rsid w:val="00644A17"/>
    <w:rsid w:val="008C2797"/>
    <w:rsid w:val="00941B2D"/>
    <w:rsid w:val="00981F11"/>
    <w:rsid w:val="00AB1B76"/>
    <w:rsid w:val="00AC57EF"/>
    <w:rsid w:val="00C74978"/>
    <w:rsid w:val="00F12C49"/>
    <w:rsid w:val="00F4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02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F44502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2000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2</cp:revision>
  <dcterms:created xsi:type="dcterms:W3CDTF">2020-08-05T14:23:00Z</dcterms:created>
  <dcterms:modified xsi:type="dcterms:W3CDTF">2020-08-05T14:23:00Z</dcterms:modified>
</cp:coreProperties>
</file>